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157A" w:rsidRDefault="00FA3BA7">
      <w:pPr>
        <w:rPr>
          <w:rFonts w:ascii="Arial" w:eastAsia="Arial" w:hAnsi="Arial" w:cs="Arial"/>
          <w:b/>
          <w:sz w:val="36"/>
          <w:szCs w:val="36"/>
        </w:rPr>
      </w:pPr>
      <w:r>
        <w:rPr>
          <w:rFonts w:ascii="Arial" w:eastAsia="Arial" w:hAnsi="Arial" w:cs="Arial"/>
          <w:b/>
          <w:sz w:val="36"/>
          <w:szCs w:val="36"/>
        </w:rPr>
        <w:t>Schedule 1 (Definitions)</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56658C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capitalised expressions shall have the meanings set out in this Schedule 1 (Definitions)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5D2FAC60"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Pr>
          <w:rFonts w:ascii="Arial" w:eastAsia="Arial" w:hAnsi="Arial" w:cs="Arial"/>
          <w:b/>
          <w:color w:val="000000"/>
          <w:sz w:val="24"/>
          <w:szCs w:val="24"/>
        </w:rPr>
        <w:t>EU References</w:t>
      </w:r>
      <w:r w:rsidR="00BB5AFE">
        <w:rPr>
          <w:rFonts w:ascii="Arial" w:eastAsia="Arial" w:hAnsi="Arial" w:cs="Arial"/>
          <w:color w:val="000000"/>
          <w:sz w:val="24"/>
          <w:szCs w:val="24"/>
        </w:rPr>
        <w:t>"</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304E1E0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the following words shall have the following meanings:</w:t>
      </w:r>
    </w:p>
    <w:tbl>
      <w:tblPr>
        <w:tblStyle w:val="a0"/>
        <w:tblW w:w="8079" w:type="dxa"/>
        <w:tblInd w:w="993" w:type="dxa"/>
        <w:tblLayout w:type="fixed"/>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77777777"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1FB46646"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means, in relation to an entity, an undertaking in which the entity owns, directly or indirectly, </w:t>
            </w:r>
            <w:r>
              <w:rPr>
                <w:rFonts w:ascii="Arial" w:eastAsia="Arial" w:hAnsi="Arial" w:cs="Arial"/>
                <w:color w:val="000000"/>
                <w:sz w:val="24"/>
                <w:szCs w:val="24"/>
              </w:rPr>
              <w:lastRenderedPageBreak/>
              <w:t>between 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3FE29B4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a Contract (including proposed or actual variations to them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1823C6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Buyer’s obligations to supply information for parliamentary, ministerial, judicial or administrative purposes including the supply of information to the Comptroller and Auditor General;</w:t>
            </w:r>
          </w:p>
          <w:p w14:paraId="00000030" w14:textId="736CA3F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29DB80D8"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64EA9BD5"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1769318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50B0F0E9" w14:textId="77777777" w:rsidTr="002C4779">
        <w:tc>
          <w:tcPr>
            <w:tcW w:w="2263" w:type="dxa"/>
          </w:tcPr>
          <w:p w14:paraId="0000004B" w14:textId="008E0BE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Existing IPR</w:t>
            </w:r>
            <w:r>
              <w:rPr>
                <w:rFonts w:ascii="Arial" w:eastAsia="Arial" w:hAnsi="Arial" w:cs="Arial"/>
                <w:b/>
                <w:color w:val="000000"/>
                <w:sz w:val="24"/>
                <w:szCs w:val="24"/>
              </w:rPr>
              <w:t>"</w:t>
            </w:r>
          </w:p>
        </w:tc>
        <w:tc>
          <w:tcPr>
            <w:tcW w:w="5816" w:type="dxa"/>
          </w:tcPr>
          <w:p w14:paraId="0000004C" w14:textId="3EBCFD44" w:rsidR="00C9157A" w:rsidRDefault="00FA3BA7" w:rsidP="00BB5AFE">
            <w:pPr>
              <w:keepNext/>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and all IPR that are owned by or licensed to the Buyer, and where the Buyer is a Crown Body, any Crown IPR, and which are or </w:t>
            </w:r>
            <w:r>
              <w:rPr>
                <w:rFonts w:ascii="Arial" w:eastAsia="Arial" w:hAnsi="Arial" w:cs="Arial"/>
                <w:color w:val="000000"/>
                <w:sz w:val="24"/>
                <w:szCs w:val="24"/>
              </w:rPr>
              <w:lastRenderedPageBreak/>
              <w:t xml:space="preserve">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 </w:t>
            </w:r>
            <w:r w:rsidRPr="0057554F">
              <w:rPr>
                <w:rFonts w:ascii="Arial" w:eastAsia="Arial" w:hAnsi="Arial" w:cs="Arial"/>
                <w:b/>
                <w:bCs/>
                <w:i/>
                <w:iCs/>
                <w:color w:val="000000"/>
                <w:sz w:val="24"/>
                <w:szCs w:val="24"/>
                <w:highlight w:val="yellow"/>
              </w:rPr>
              <w:t>[Guidance: include the following wording where Part B of Schedule 36 (Intellectual Property Rights) is used]</w:t>
            </w:r>
            <w:r>
              <w:rPr>
                <w:rFonts w:ascii="Arial" w:eastAsia="Arial" w:hAnsi="Arial" w:cs="Arial"/>
                <w:color w:val="000000"/>
                <w:sz w:val="24"/>
                <w:szCs w:val="24"/>
              </w:rPr>
              <w:t xml:space="preserve"> [but excluding Buyer Software]</w:t>
            </w:r>
            <w:r w:rsidR="00386A55">
              <w:rPr>
                <w:rFonts w:ascii="Arial" w:eastAsia="Arial" w:hAnsi="Arial" w:cs="Arial"/>
                <w:color w:val="000000"/>
                <w:sz w:val="24"/>
                <w:szCs w:val="24"/>
              </w:rPr>
              <w:t>;</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5816" w:type="dxa"/>
          </w:tcPr>
          <w:p w14:paraId="594CF681" w14:textId="416B7944"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0B230AF"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734CFE1B"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be considered confidential which comes (or has come) to the Buyer’s attention or into the Buyer’s possession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6BBD3AE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458EA1DA"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431675A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0BE3F8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3D3149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13C9BE2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063EFC1"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4F16BC10"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3D91653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the cost to the Supplier or the Key Subcontractor (as the context requires), calculated per Work Day,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r>
              <w:rPr>
                <w:rFonts w:ascii="Arial" w:eastAsia="Arial" w:hAnsi="Arial" w:cs="Arial"/>
                <w:color w:val="000000"/>
                <w:sz w:val="24"/>
                <w:szCs w:val="24"/>
              </w:rPr>
              <w:t xml:space="preserve"> accommodation;</w:t>
            </w:r>
          </w:p>
          <w:p w14:paraId="00000088" w14:textId="573A1F8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place IT equipment and tools reasonably necessary to provide the </w:t>
            </w:r>
            <w:r>
              <w:rPr>
                <w:rFonts w:ascii="Arial" w:eastAsia="Arial" w:hAnsi="Arial" w:cs="Arial"/>
                <w:color w:val="000000"/>
                <w:sz w:val="24"/>
                <w:szCs w:val="24"/>
              </w:rPr>
              <w:lastRenderedPageBreak/>
              <w:t xml:space="preserve">Deliverables (but not including items included within limb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276FE4D2"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amounts payable under Schedule 12 (Benchmarking) where such Schedule is used;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86A55" w14:paraId="0120173F" w14:textId="77777777" w:rsidTr="002C4779">
        <w:tc>
          <w:tcPr>
            <w:tcW w:w="2263" w:type="dxa"/>
          </w:tcPr>
          <w:p w14:paraId="09328E35" w14:textId="3EC89D29"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 xml:space="preserve">"COTS Software" or  "Commercial </w:t>
            </w:r>
            <w:r w:rsidRPr="00386A55">
              <w:rPr>
                <w:rFonts w:ascii="Arial" w:eastAsia="Arial" w:hAnsi="Arial" w:cs="Arial"/>
                <w:b/>
                <w:color w:val="000000"/>
                <w:sz w:val="24"/>
                <w:szCs w:val="24"/>
              </w:rPr>
              <w:lastRenderedPageBreak/>
              <w:t>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lastRenderedPageBreak/>
              <w:t xml:space="preserve">non-customised software where the IPR may be owned and licensed either by the Supplier or a third party depending on the context, and which is </w:t>
            </w:r>
            <w:r w:rsidRPr="00386A55">
              <w:rPr>
                <w:rFonts w:ascii="Arial" w:eastAsia="Arial" w:hAnsi="Arial" w:cs="Arial"/>
                <w:color w:val="000000"/>
                <w:sz w:val="24"/>
                <w:szCs w:val="24"/>
              </w:rPr>
              <w:lastRenderedPageBreak/>
              <w:t>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IPR"</w:t>
            </w:r>
          </w:p>
        </w:tc>
        <w:tc>
          <w:tcPr>
            <w:tcW w:w="5816" w:type="dxa"/>
          </w:tcPr>
          <w:p w14:paraId="0000009C" w14:textId="1260068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Loss Event"</w:t>
            </w:r>
          </w:p>
        </w:tc>
        <w:tc>
          <w:tcPr>
            <w:tcW w:w="5816" w:type="dxa"/>
          </w:tcPr>
          <w:p w14:paraId="000000A0" w14:textId="05FF96E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this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(i)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request made by, or on behalf of, a Data Subject in accordance with rights granted pursuant to the </w:t>
            </w:r>
            <w:r>
              <w:rPr>
                <w:rFonts w:ascii="Arial" w:eastAsia="Arial" w:hAnsi="Arial" w:cs="Arial"/>
                <w:color w:val="000000"/>
                <w:sz w:val="24"/>
                <w:szCs w:val="24"/>
              </w:rPr>
              <w:lastRenderedPageBreak/>
              <w:t>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"Deductions"</w:t>
            </w:r>
          </w:p>
        </w:tc>
        <w:tc>
          <w:tcPr>
            <w:tcW w:w="5816" w:type="dxa"/>
          </w:tcPr>
          <w:p w14:paraId="000000AF" w14:textId="394D156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"Default"</w:t>
            </w:r>
          </w:p>
        </w:tc>
        <w:tc>
          <w:tcPr>
            <w:tcW w:w="5816" w:type="dxa"/>
          </w:tcPr>
          <w:p w14:paraId="000000B1" w14:textId="12824A0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"Defect"</w:t>
            </w:r>
          </w:p>
        </w:tc>
        <w:tc>
          <w:tcPr>
            <w:tcW w:w="5816" w:type="dxa"/>
          </w:tcPr>
          <w:p w14:paraId="54441CD0" w14:textId="0B2A417D" w:rsidR="00C64EFE" w:rsidRDefault="00C64EFE" w:rsidP="00C64EFE">
            <w:pPr>
              <w:pBdr>
                <w:top w:val="nil"/>
                <w:left w:val="nil"/>
                <w:bottom w:val="nil"/>
                <w:right w:val="nil"/>
                <w:between w:val="nil"/>
              </w:pBdr>
              <w:tabs>
                <w:tab w:val="left" w:pos="-9"/>
              </w:tabs>
              <w:spacing w:before="120" w:after="120"/>
              <w:ind w:left="964"/>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6F52BF12"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"Deliverables"</w:t>
            </w:r>
          </w:p>
        </w:tc>
        <w:tc>
          <w:tcPr>
            <w:tcW w:w="5816" w:type="dxa"/>
          </w:tcPr>
          <w:p w14:paraId="000000B5" w14:textId="3B81BBB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156D05C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(a) confirmation in writing to the Supplier; or (b) where Schedule 8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"Dependent Parent Undertaking"</w:t>
            </w:r>
          </w:p>
        </w:tc>
        <w:tc>
          <w:tcPr>
            <w:tcW w:w="5816" w:type="dxa"/>
          </w:tcPr>
          <w:p w14:paraId="000000B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7603695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"Dispute Resolution Procedure"</w:t>
            </w:r>
          </w:p>
        </w:tc>
        <w:tc>
          <w:tcPr>
            <w:tcW w:w="5816" w:type="dxa"/>
          </w:tcPr>
          <w:p w14:paraId="000000C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BEE41DE"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27B57A5"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tcPr>
          <w:p w14:paraId="000000CE" w14:textId="7E61D24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Expiry Date as extended by the Buyer under Clause 14.2; or</w:t>
            </w:r>
          </w:p>
          <w:p w14:paraId="000000D6" w14:textId="7EDFA9B9"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"End User"</w:t>
            </w:r>
          </w:p>
        </w:tc>
        <w:tc>
          <w:tcPr>
            <w:tcW w:w="5816" w:type="dxa"/>
          </w:tcPr>
          <w:p w14:paraId="000000D8" w14:textId="77777777"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party that is accessing the Deliverables provided pursuant to this Contract (including the 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6E74A264"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this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Regulation (EU) 2016/679 of the European Parliament and of the Council of 27 April 2016 on the protection of natural persons with regard to the processing of personal data and on the free </w:t>
            </w:r>
            <w:r>
              <w:rPr>
                <w:rFonts w:ascii="Arial" w:eastAsia="Arial" w:hAnsi="Arial" w:cs="Arial"/>
                <w:color w:val="000000"/>
                <w:sz w:val="24"/>
                <w:szCs w:val="24"/>
              </w:rPr>
              <w:lastRenderedPageBreak/>
              <w:t>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"Existing IPR"</w:t>
            </w:r>
          </w:p>
        </w:tc>
        <w:tc>
          <w:tcPr>
            <w:tcW w:w="5816" w:type="dxa"/>
          </w:tcPr>
          <w:p w14:paraId="000000EB" w14:textId="72DF2464"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"Expiry Date"</w:t>
            </w:r>
          </w:p>
        </w:tc>
        <w:tc>
          <w:tcPr>
            <w:tcW w:w="5816" w:type="dxa"/>
          </w:tcPr>
          <w:p w14:paraId="000000EF" w14:textId="758401C4"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Key Subcontractor notifies the Buyer that the Supplier has not paid any material sums properly due under a specified invoice and not subject to a genuine dispute; </w:t>
            </w:r>
          </w:p>
          <w:p w14:paraId="000000FB" w14:textId="02ECB44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FDE Group entity extends the filing period for filing its accounts with the Registrar of Companies so that the filing period ends more than nine (9) months after its accounting reference date without an explanation to the Buyer which the </w:t>
            </w:r>
            <w:r>
              <w:rPr>
                <w:rFonts w:ascii="Arial" w:eastAsia="Arial" w:hAnsi="Arial" w:cs="Arial"/>
                <w:color w:val="000000"/>
                <w:sz w:val="24"/>
                <w:szCs w:val="24"/>
              </w:rPr>
              <w:lastRenderedPageBreak/>
              <w:t>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directors and/or external auditors of any FDE Group entity conclude that a material uncertainty exists in relation to that FDE Group entity’s going concern in the annual report</w:t>
            </w:r>
            <w:r>
              <w:rPr>
                <w:rFonts w:ascii="Arial" w:eastAsia="Arial" w:hAnsi="Arial" w:cs="Arial"/>
                <w:color w:val="000000"/>
                <w:sz w:val="22"/>
                <w:szCs w:val="22"/>
              </w:rPr>
              <w:t xml:space="preserve"> </w:t>
            </w:r>
            <w:r>
              <w:rPr>
                <w:rFonts w:ascii="Arial" w:eastAsia="Arial" w:hAnsi="Arial" w:cs="Arial"/>
                <w:color w:val="000000"/>
                <w:sz w:val="24"/>
                <w:szCs w:val="24"/>
              </w:rPr>
              <w:t>including in a reasonable but plausible downside scenario. This includes, but is not limited to, commentary about 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77777777"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14:paraId="00000105" w14:textId="6444BCB4"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lastRenderedPageBreak/>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06" w14:textId="26DDF29B"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w:t>
            </w:r>
            <w:r>
              <w:rPr>
                <w:rFonts w:ascii="Arial" w:eastAsia="Arial" w:hAnsi="Arial" w:cs="Arial"/>
                <w:color w:val="000000"/>
                <w:sz w:val="24"/>
                <w:szCs w:val="24"/>
                <w:highlight w:val="yellow"/>
              </w:rPr>
              <w:t>[one]</w:t>
            </w:r>
            <w:r>
              <w:rPr>
                <w:rFonts w:ascii="Arial" w:eastAsia="Arial" w:hAnsi="Arial" w:cs="Arial"/>
                <w:color w:val="000000"/>
                <w:sz w:val="24"/>
                <w:szCs w:val="24"/>
              </w:rPr>
              <w:t xml:space="preserve"> of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a true and fair reflection of the Costs and 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14:paraId="0000010B" w14:textId="5A963681"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Effective Date for the purposes of this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enabling the Buyer to demonstrate that it is achieving value for money for the tax payer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lastRenderedPageBreak/>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5A71A17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78DA3B3C"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t>are supplied to the Supplier by or on behalf of the Buyer; and/or</w:t>
            </w:r>
          </w:p>
          <w:p w14:paraId="00000134" w14:textId="3C083303"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sz w:val="22"/>
                <w:szCs w:val="22"/>
              </w:rPr>
            </w:pPr>
            <w:r>
              <w:rPr>
                <w:rFonts w:ascii="Arial" w:eastAsia="Arial" w:hAnsi="Arial" w:cs="Arial"/>
                <w:color w:val="000000"/>
                <w:sz w:val="24"/>
                <w:szCs w:val="24"/>
              </w:rPr>
              <w:lastRenderedPageBreak/>
              <w:t xml:space="preserve">the Supplier is required to generate, process, store or transmit pursuant to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tcPr>
          <w:p w14:paraId="0000013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199C9F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tcPr>
          <w:p w14:paraId="0000014A" w14:textId="23E5D4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430FA5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4A44A4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after="2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that person commences negotiations with one or more of its creditors (using a voluntary arrangement, scheme of arrangement or otherwise) with a view to rescheduling any of its debts, or makes a </w:t>
            </w:r>
            <w:r>
              <w:rPr>
                <w:rFonts w:ascii="Arial" w:eastAsia="Arial" w:hAnsi="Arial" w:cs="Arial"/>
                <w:color w:val="000000"/>
                <w:sz w:val="24"/>
                <w:szCs w:val="24"/>
              </w:rPr>
              <w:lastRenderedPageBreak/>
              <w:t>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00000163"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lastRenderedPageBreak/>
              <w:t>(being a company or an LLP) the holder of a qualifying floating charge over the assets of that person has become entitled to appoint or has 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0B86CB5F"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546548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bookmarkStart w:id="9" w:name="_Ref141103044"/>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3C7FD1EB"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tcPr>
          <w:p w14:paraId="00000172" w14:textId="4D0B2DC9"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w:t>
            </w:r>
            <w:r>
              <w:rPr>
                <w:rFonts w:ascii="Arial" w:eastAsia="Arial" w:hAnsi="Arial" w:cs="Arial"/>
                <w:color w:val="000000"/>
                <w:sz w:val="24"/>
                <w:szCs w:val="24"/>
              </w:rPr>
              <w:lastRenderedPageBreak/>
              <w:t xml:space="preserve">provided access) to the Buyer in the fulfilment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25E9EABA"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tcPr>
          <w:p w14:paraId="0000017C"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29D02B29"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ideas, concepts, schemes, information, knowledge, techniques, methodology, and anything else in the nature of know-how relating to the Deliverables but excluding know-how already </w:t>
            </w:r>
            <w:r>
              <w:rPr>
                <w:rFonts w:ascii="Arial" w:eastAsia="Arial" w:hAnsi="Arial" w:cs="Arial"/>
                <w:color w:val="000000"/>
                <w:sz w:val="24"/>
                <w:szCs w:val="24"/>
              </w:rPr>
              <w:lastRenderedPageBreak/>
              <w:t>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7B258EF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after="2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02AE8779" w14:textId="77777777" w:rsidTr="002C4779">
        <w:tc>
          <w:tcPr>
            <w:tcW w:w="2263" w:type="dxa"/>
          </w:tcPr>
          <w:p w14:paraId="00000199" w14:textId="4E15017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w:t>
            </w:r>
          </w:p>
        </w:tc>
        <w:tc>
          <w:tcPr>
            <w:tcW w:w="5816" w:type="dxa"/>
          </w:tcPr>
          <w:p w14:paraId="0000019A" w14:textId="321479FE"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items created by the Supplier (or by a third party on behalf of the Supplier) specifically for the purposes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updates and amendments of these items including database schema; and/or</w:t>
            </w:r>
          </w:p>
          <w:p w14:paraId="0000019B" w14:textId="5698E4A8"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all updates and amendments to the same; </w:t>
            </w:r>
          </w:p>
          <w:p w14:paraId="0000019C" w14:textId="6ED1D91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but shall not include the Supplier’s Existing IPR </w:t>
            </w:r>
            <w:r w:rsidRPr="00132950">
              <w:rPr>
                <w:rFonts w:ascii="Arial" w:eastAsia="Arial" w:hAnsi="Arial" w:cs="Arial"/>
                <w:b/>
                <w:bCs/>
                <w:i/>
                <w:iCs/>
                <w:color w:val="000000"/>
                <w:sz w:val="24"/>
                <w:szCs w:val="24"/>
                <w:highlight w:val="yellow"/>
              </w:rPr>
              <w:t>[Guidance: include the following wording where Part B of Schedule 36 (Intellectual Property Rights) is used] [or Specially Written Software]</w:t>
            </w:r>
            <w:r>
              <w:rPr>
                <w:rFonts w:ascii="Arial" w:eastAsia="Arial" w:hAnsi="Arial" w:cs="Arial"/>
                <w:color w:val="000000"/>
                <w:sz w:val="24"/>
                <w:szCs w:val="24"/>
              </w:rPr>
              <w:t xml:space="preserve">; </w:t>
            </w:r>
          </w:p>
        </w:tc>
      </w:tr>
      <w:tr w:rsidR="00386A55" w14:paraId="7C8FD989" w14:textId="77777777" w:rsidTr="002C4779">
        <w:tc>
          <w:tcPr>
            <w:tcW w:w="2263" w:type="dxa"/>
          </w:tcPr>
          <w:p w14:paraId="0000019D" w14:textId="451BB02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 Item"</w:t>
            </w:r>
          </w:p>
        </w:tc>
        <w:tc>
          <w:tcPr>
            <w:tcW w:w="5816" w:type="dxa"/>
          </w:tcPr>
          <w:p w14:paraId="0000019E"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a Relevant Tax Authority successfully challenging the Supplier under the General Anti-Abuse Rule or the Halifax Abuse Principle or under any tax rules or legislation in any jurisdiction that have an effect equivalent or similar to </w:t>
            </w:r>
            <w:r>
              <w:rPr>
                <w:rFonts w:ascii="Arial" w:eastAsia="Arial" w:hAnsi="Arial" w:cs="Arial"/>
                <w:color w:val="000000"/>
                <w:sz w:val="24"/>
                <w:szCs w:val="24"/>
              </w:rPr>
              <w:lastRenderedPageBreak/>
              <w:t>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5816" w:type="dxa"/>
          </w:tcPr>
          <w:p w14:paraId="000001AA" w14:textId="4288E3A3"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tcPr>
          <w:p w14:paraId="000001BA" w14:textId="1891BF8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tcPr>
          <w:p w14:paraId="000001BC" w14:textId="3DEAC95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w:t>
            </w:r>
            <w:r>
              <w:rPr>
                <w:rFonts w:ascii="Arial" w:eastAsia="Arial" w:hAnsi="Arial" w:cs="Arial"/>
                <w:color w:val="000000"/>
                <w:sz w:val="24"/>
                <w:szCs w:val="24"/>
              </w:rPr>
              <w:lastRenderedPageBreak/>
              <w:t xml:space="preserve">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4F5D2A6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2A6E6E2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this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to directly or indirectly offer, promise or give any person working for or engaged by the </w:t>
            </w:r>
            <w:r>
              <w:rPr>
                <w:rFonts w:ascii="Arial" w:eastAsia="Arial" w:hAnsi="Arial" w:cs="Arial"/>
                <w:color w:val="000000"/>
                <w:sz w:val="24"/>
                <w:szCs w:val="24"/>
              </w:rPr>
              <w:lastRenderedPageBreak/>
              <w:t>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000001D7" w14:textId="698561AD"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17EB08F"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practice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request by the Supplier to return Goods to the Supplier or the manufacturer after the discovery of safety issues or defects (including defects in the </w:t>
            </w:r>
            <w:r>
              <w:rPr>
                <w:rFonts w:ascii="Arial" w:eastAsia="Arial" w:hAnsi="Arial" w:cs="Arial"/>
                <w:color w:val="000000"/>
                <w:sz w:val="24"/>
                <w:szCs w:val="24"/>
              </w:rPr>
              <w:lastRenderedPageBreak/>
              <w:t>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tcPr>
          <w:p w14:paraId="000001F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5816" w:type="dxa"/>
          </w:tcPr>
          <w:p w14:paraId="000001F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applicable Law relating to bribery, corruption and fraud, including the Bribery Act 2010 and any </w:t>
            </w:r>
            <w:r>
              <w:rPr>
                <w:rFonts w:ascii="Arial" w:eastAsia="Arial" w:hAnsi="Arial" w:cs="Arial"/>
                <w:color w:val="000000"/>
                <w:sz w:val="24"/>
                <w:szCs w:val="24"/>
              </w:rPr>
              <w:lastRenderedPageBreak/>
              <w:t>guidance issued by the Secretary of State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5816" w:type="dxa"/>
          </w:tcPr>
          <w:p w14:paraId="00000204" w14:textId="3D0125E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"Schedules"</w:t>
            </w:r>
          </w:p>
        </w:tc>
        <w:tc>
          <w:tcPr>
            <w:tcW w:w="5816" w:type="dxa"/>
          </w:tcPr>
          <w:p w14:paraId="0000020C" w14:textId="7018ED8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"Security Policy"</w:t>
            </w:r>
          </w:p>
        </w:tc>
        <w:tc>
          <w:tcPr>
            <w:tcW w:w="5816" w:type="dxa"/>
          </w:tcPr>
          <w:p w14:paraId="00000210" w14:textId="1A1E1D0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075C6A1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tcPr>
          <w:p w14:paraId="0000021A" w14:textId="65DFEFC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"Social Value"</w:t>
            </w:r>
          </w:p>
        </w:tc>
        <w:tc>
          <w:tcPr>
            <w:tcW w:w="5816" w:type="dxa"/>
          </w:tcPr>
          <w:p w14:paraId="00000223" w14:textId="7F5EFAD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(i) Schedule 10 (Service Levels) (where used) or (ii) Part C of Schedule 26 (Sustainability) (where Schedule 10 (Service Levels)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KPIs"</w:t>
            </w:r>
          </w:p>
        </w:tc>
        <w:tc>
          <w:tcPr>
            <w:tcW w:w="5816" w:type="dxa"/>
          </w:tcPr>
          <w:p w14:paraId="00000225" w14:textId="2E49772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(i) Schedule 10 (Service Levels) (where used) or (ii) Part C of Schedule 26 (Sustainability) (where Schedule 10 (Service Levels) is not used;</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tcPr>
          <w:p w14:paraId="00000227" w14:textId="77CB5E6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5816" w:type="dxa"/>
          </w:tcPr>
          <w:p w14:paraId="529275E6" w14:textId="7A80231E"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36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"Special Terms"</w:t>
            </w:r>
          </w:p>
        </w:tc>
        <w:tc>
          <w:tcPr>
            <w:tcW w:w="5816" w:type="dxa"/>
          </w:tcPr>
          <w:p w14:paraId="00000229" w14:textId="79CA58C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1CD6753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Change in Law that relates specifically to the business of the Buyer and which would not affect a Comparable Supply where the effect of that </w:t>
            </w:r>
            <w:r>
              <w:rPr>
                <w:rFonts w:ascii="Arial" w:eastAsia="Arial" w:hAnsi="Arial" w:cs="Arial"/>
                <w:color w:val="000000"/>
                <w:sz w:val="24"/>
                <w:szCs w:val="24"/>
              </w:rPr>
              <w:lastRenderedPageBreak/>
              <w:t>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"Specification"</w:t>
            </w:r>
          </w:p>
        </w:tc>
        <w:tc>
          <w:tcPr>
            <w:tcW w:w="5816" w:type="dxa"/>
          </w:tcPr>
          <w:p w14:paraId="0000022D" w14:textId="541A52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205D1C" w14:paraId="76A4DDB4" w14:textId="77777777" w:rsidTr="002C4779">
        <w:tc>
          <w:tcPr>
            <w:tcW w:w="2263" w:type="dxa"/>
          </w:tcPr>
          <w:p w14:paraId="0000022E" w14:textId="40B3EE1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"Standards"</w:t>
            </w:r>
          </w:p>
        </w:tc>
        <w:tc>
          <w:tcPr>
            <w:tcW w:w="5816" w:type="dxa"/>
          </w:tcPr>
          <w:p w14:paraId="0000022F"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 (Specification);</w:t>
            </w:r>
          </w:p>
          <w:p w14:paraId="00000232" w14:textId="02175A1D"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agreed between the Parties from time to time;</w:t>
            </w:r>
          </w:p>
          <w:p w14:paraId="00000233"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this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considers that the circumstances constitute an emergency despite the Supplier </w:t>
            </w:r>
            <w:r>
              <w:rPr>
                <w:rFonts w:ascii="Arial" w:eastAsia="Arial" w:hAnsi="Arial" w:cs="Arial"/>
                <w:color w:val="000000"/>
                <w:sz w:val="24"/>
                <w:szCs w:val="24"/>
              </w:rPr>
              <w:lastRenderedPageBreak/>
              <w:t>not being in breach of its obligations under this agreement;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"Step-Out Plan"</w:t>
            </w:r>
          </w:p>
        </w:tc>
        <w:tc>
          <w:tcPr>
            <w:tcW w:w="5816" w:type="dxa"/>
          </w:tcPr>
          <w:p w14:paraId="00000244" w14:textId="62BBE31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w:t>
            </w:r>
          </w:p>
        </w:tc>
        <w:tc>
          <w:tcPr>
            <w:tcW w:w="5816" w:type="dxa"/>
          </w:tcPr>
          <w:p w14:paraId="00000248" w14:textId="5D04CB3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"Subprocessor"</w:t>
            </w:r>
          </w:p>
        </w:tc>
        <w:tc>
          <w:tcPr>
            <w:tcW w:w="5816" w:type="dxa"/>
          </w:tcPr>
          <w:p w14:paraId="0000024F" w14:textId="1BF5DF1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Assets"</w:t>
            </w:r>
          </w:p>
        </w:tc>
        <w:tc>
          <w:tcPr>
            <w:tcW w:w="5816" w:type="dxa"/>
          </w:tcPr>
          <w:p w14:paraId="00000255" w14:textId="427C5FD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5816" w:type="dxa"/>
          </w:tcPr>
          <w:p w14:paraId="00000259" w14:textId="77777777"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5816" w:type="dxa"/>
          </w:tcPr>
          <w:p w14:paraId="0000025B" w14:textId="38752620"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6A5C1486"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353CD499" w14:textId="77777777" w:rsidTr="002C4779">
        <w:tc>
          <w:tcPr>
            <w:tcW w:w="2263" w:type="dxa"/>
          </w:tcPr>
          <w:p w14:paraId="0478FDA9" w14:textId="1FB71A1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New and Existing IPR Licence"</w:t>
            </w:r>
          </w:p>
        </w:tc>
        <w:tc>
          <w:tcPr>
            <w:tcW w:w="5816" w:type="dxa"/>
          </w:tcPr>
          <w:p w14:paraId="30A7ED06" w14:textId="63CBB9DA" w:rsidR="000F7B87" w:rsidRDefault="003C5AE1"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sidRPr="003C5AE1">
              <w:rPr>
                <w:rFonts w:ascii="Arial" w:eastAsia="Arial" w:hAnsi="Arial" w:cs="Arial"/>
                <w:color w:val="000000"/>
                <w:sz w:val="24"/>
                <w:szCs w:val="24"/>
              </w:rPr>
              <w:t xml:space="preserve">means a licence to be offered by the Supplier to the New IPR and Supplier Existing IPR as set out in Schedule 36 (Intellectual Property Rights); </w:t>
            </w:r>
            <w:r w:rsidRPr="003C5AE1">
              <w:rPr>
                <w:rFonts w:ascii="Arial" w:eastAsia="Arial" w:hAnsi="Arial" w:cs="Arial"/>
                <w:b/>
                <w:bCs/>
                <w:i/>
                <w:iCs/>
                <w:color w:val="000000"/>
                <w:sz w:val="24"/>
                <w:szCs w:val="24"/>
              </w:rPr>
              <w:t>[</w:t>
            </w:r>
            <w:r w:rsidRPr="003C5AE1">
              <w:rPr>
                <w:rFonts w:ascii="Arial" w:eastAsia="Arial" w:hAnsi="Arial" w:cs="Arial"/>
                <w:b/>
                <w:bCs/>
                <w:i/>
                <w:iCs/>
                <w:color w:val="000000"/>
                <w:sz w:val="24"/>
                <w:szCs w:val="24"/>
                <w:highlight w:val="yellow"/>
              </w:rPr>
              <w:t>Guidance: include the following wording where Part B of Schedule 36 (Intellectual Property Rights) is used] [but excluding Buyer Software</w:t>
            </w:r>
            <w:r w:rsidRPr="003C5AE1">
              <w:rPr>
                <w:rFonts w:ascii="Arial" w:eastAsia="Arial" w:hAnsi="Arial" w:cs="Arial"/>
                <w:b/>
                <w:bCs/>
                <w:i/>
                <w:iCs/>
                <w:color w:val="000000"/>
                <w:sz w:val="24"/>
                <w:szCs w:val="24"/>
              </w:rPr>
              <w:t>].</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77777777"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64" w14:textId="014478DD"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this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3ADD649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this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5A68D86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bookmarkEnd w:id="12"/>
            <w:r>
              <w:rPr>
                <w:rFonts w:ascii="Arial" w:eastAsia="Arial" w:hAnsi="Arial" w:cs="Arial"/>
                <w:color w:val="000000"/>
                <w:sz w:val="24"/>
                <w:szCs w:val="24"/>
              </w:rPr>
              <w:t xml:space="preserve"> </w:t>
            </w:r>
          </w:p>
          <w:p w14:paraId="0000026D" w14:textId="03440EFE"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bookmarkEnd w:id="13"/>
          </w:p>
          <w:p w14:paraId="0000026E" w14:textId="46784CA6"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Contract Manager"</w:t>
            </w:r>
          </w:p>
        </w:tc>
        <w:tc>
          <w:tcPr>
            <w:tcW w:w="5816" w:type="dxa"/>
          </w:tcPr>
          <w:p w14:paraId="00000270" w14:textId="64FFD2A1"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454058B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sufficient information in writing to enable the Buyer to reasonably assess whether the Charges, </w:t>
            </w:r>
            <w:r>
              <w:rPr>
                <w:rFonts w:ascii="Arial" w:eastAsia="Arial" w:hAnsi="Arial" w:cs="Arial"/>
                <w:color w:val="000000"/>
                <w:sz w:val="24"/>
                <w:szCs w:val="24"/>
              </w:rPr>
              <w:lastRenderedPageBreak/>
              <w:t>Reimbursable Expenses and other sums due from the Buyer under this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"Tender Response"</w:t>
            </w:r>
          </w:p>
        </w:tc>
        <w:tc>
          <w:tcPr>
            <w:tcW w:w="5816" w:type="dxa"/>
          </w:tcPr>
          <w:p w14:paraId="0000027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5816" w:type="dxa"/>
          </w:tcPr>
          <w:p w14:paraId="4231F0A6" w14:textId="5938EF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tcPr>
          <w:p w14:paraId="0000027C" w14:textId="50981003"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tcPr>
          <w:p w14:paraId="0000027E" w14:textId="74AB316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tcPr>
          <w:p w14:paraId="00000284" w14:textId="1932E5F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337AF26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5816" w:type="dxa"/>
          </w:tcPr>
          <w:p w14:paraId="0000028A" w14:textId="50AD2379"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5816" w:type="dxa"/>
          </w:tcPr>
          <w:p w14:paraId="0000028E" w14:textId="1D36C4A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59222F0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Day"</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w:t>
            </w:r>
            <w:r>
              <w:rPr>
                <w:rFonts w:ascii="Arial" w:eastAsia="Arial" w:hAnsi="Arial" w:cs="Arial"/>
                <w:color w:val="000000"/>
                <w:sz w:val="24"/>
                <w:szCs w:val="24"/>
              </w:rPr>
              <w:lastRenderedPageBreak/>
              <w:t xml:space="preserve">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pPr>
        <w:spacing w:after="0" w:line="240" w:lineRule="auto"/>
        <w:rPr>
          <w:rFonts w:ascii="Arial" w:eastAsia="Arial" w:hAnsi="Arial" w:cs="Arial"/>
          <w:sz w:val="24"/>
          <w:szCs w:val="24"/>
        </w:rPr>
      </w:pPr>
    </w:p>
    <w:sectPr w:rsidR="00C9157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AD42" w14:textId="77777777" w:rsidR="00A47D61" w:rsidRDefault="00FA3BA7">
      <w:pPr>
        <w:spacing w:after="0" w:line="240" w:lineRule="auto"/>
      </w:pPr>
      <w:r>
        <w:separator/>
      </w:r>
    </w:p>
  </w:endnote>
  <w:endnote w:type="continuationSeparator" w:id="0">
    <w:p w14:paraId="49FE7390" w14:textId="77777777" w:rsidR="00A47D61" w:rsidRDefault="00FA3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6FDF" w14:textId="5FDB391F" w:rsidR="00386A55" w:rsidRDefault="00C71526">
    <w:pPr>
      <w:pStyle w:val="Footer"/>
    </w:pPr>
    <w:r>
      <w:rPr>
        <w:noProof/>
      </w:rPr>
      <mc:AlternateContent>
        <mc:Choice Requires="wps">
          <w:drawing>
            <wp:anchor distT="0" distB="0" distL="0" distR="0" simplePos="0" relativeHeight="251662336" behindDoc="0" locked="0" layoutInCell="1" allowOverlap="1" wp14:anchorId="782B5691" wp14:editId="55FCDA6C">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4D6D20" w14:textId="63601F71" w:rsidR="00C71526" w:rsidRPr="00C71526" w:rsidRDefault="00C71526" w:rsidP="00C71526">
                          <w:pPr>
                            <w:spacing w:after="0"/>
                            <w:rPr>
                              <w:noProof/>
                              <w:color w:val="000000"/>
                              <w:sz w:val="20"/>
                              <w:szCs w:val="20"/>
                            </w:rPr>
                          </w:pPr>
                          <w:r w:rsidRPr="00C71526">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2B5691"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64D6D20" w14:textId="63601F71" w:rsidR="00C71526" w:rsidRPr="00C71526" w:rsidRDefault="00C71526" w:rsidP="00C71526">
                    <w:pPr>
                      <w:spacing w:after="0"/>
                      <w:rPr>
                        <w:noProof/>
                        <w:color w:val="000000"/>
                        <w:sz w:val="20"/>
                        <w:szCs w:val="20"/>
                      </w:rPr>
                    </w:pPr>
                    <w:r w:rsidRPr="00C71526">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66C7" w14:textId="1954461F" w:rsidR="002C4779" w:rsidRDefault="00C71526"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noProof/>
      </w:rPr>
      <mc:AlternateContent>
        <mc:Choice Requires="wps">
          <w:drawing>
            <wp:anchor distT="0" distB="0" distL="0" distR="0" simplePos="0" relativeHeight="251663360" behindDoc="0" locked="0" layoutInCell="1" allowOverlap="1" wp14:anchorId="5112D666" wp14:editId="0C1FDFA5">
              <wp:simplePos x="914400" y="9687339"/>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E33FAB" w14:textId="360E6E1F" w:rsidR="00C71526" w:rsidRPr="00C71526" w:rsidRDefault="00C71526" w:rsidP="00C71526">
                          <w:pPr>
                            <w:spacing w:after="0"/>
                            <w:rPr>
                              <w:noProof/>
                              <w:color w:val="000000"/>
                              <w:sz w:val="20"/>
                              <w:szCs w:val="20"/>
                            </w:rPr>
                          </w:pPr>
                          <w:r w:rsidRPr="00C71526">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12D666"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71E33FAB" w14:textId="360E6E1F" w:rsidR="00C71526" w:rsidRPr="00C71526" w:rsidRDefault="00C71526" w:rsidP="00C71526">
                    <w:pPr>
                      <w:spacing w:after="0"/>
                      <w:rPr>
                        <w:noProof/>
                        <w:color w:val="000000"/>
                        <w:sz w:val="20"/>
                        <w:szCs w:val="20"/>
                      </w:rPr>
                    </w:pPr>
                    <w:r w:rsidRPr="00C71526">
                      <w:rPr>
                        <w:noProof/>
                        <w:color w:val="000000"/>
                        <w:sz w:val="20"/>
                        <w:szCs w:val="20"/>
                      </w:rPr>
                      <w:t>UK OFFICIAL</w:t>
                    </w:r>
                  </w:p>
                </w:txbxContent>
              </v:textbox>
              <w10:wrap anchorx="page" anchory="page"/>
            </v:shape>
          </w:pict>
        </mc:Fallback>
      </mc:AlternateContent>
    </w:r>
  </w:p>
  <w:sdt>
    <w:sdtPr>
      <w:id w:val="-2024391184"/>
      <w:docPartObj>
        <w:docPartGallery w:val="Page Numbers (Bottom of Page)"/>
        <w:docPartUnique/>
      </w:docPartObj>
    </w:sdtPr>
    <w:sdtEndPr>
      <w:rPr>
        <w:noProof/>
      </w:rPr>
    </w:sdtEndPr>
    <w:sdtContent>
      <w:p w14:paraId="5447A94F" w14:textId="126D4606" w:rsidR="002C4779" w:rsidRDefault="001945C1" w:rsidP="002C4779">
        <w:pPr>
          <w:tabs>
            <w:tab w:val="right" w:pos="9026"/>
          </w:tabs>
          <w:spacing w:after="0"/>
        </w:pPr>
        <w:r>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3D1B1D48" w:rsidR="00C9157A" w:rsidRDefault="00C71526">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543F1A56" wp14:editId="41B939E6">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835218" w14:textId="67F12900" w:rsidR="00C71526" w:rsidRPr="00C71526" w:rsidRDefault="00C71526" w:rsidP="00C71526">
                          <w:pPr>
                            <w:spacing w:after="0"/>
                            <w:rPr>
                              <w:noProof/>
                              <w:color w:val="000000"/>
                              <w:sz w:val="20"/>
                              <w:szCs w:val="20"/>
                            </w:rPr>
                          </w:pPr>
                          <w:r w:rsidRPr="00C71526">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3F1A56"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2B835218" w14:textId="67F12900" w:rsidR="00C71526" w:rsidRPr="00C71526" w:rsidRDefault="00C71526" w:rsidP="00C71526">
                    <w:pPr>
                      <w:spacing w:after="0"/>
                      <w:rPr>
                        <w:noProof/>
                        <w:color w:val="000000"/>
                        <w:sz w:val="20"/>
                        <w:szCs w:val="20"/>
                      </w:rPr>
                    </w:pPr>
                    <w:r w:rsidRPr="00C71526">
                      <w:rPr>
                        <w:noProof/>
                        <w:color w:val="000000"/>
                        <w:sz w:val="20"/>
                        <w:szCs w:val="20"/>
                      </w:rPr>
                      <w:t>UK OFFICIAL</w:t>
                    </w:r>
                  </w:p>
                </w:txbxContent>
              </v:textbox>
              <w10:wrap anchorx="page" anchory="page"/>
            </v:shape>
          </w:pict>
        </mc:Fallback>
      </mc:AlternateContent>
    </w:r>
    <w:r w:rsidR="00FA3BA7">
      <w:rPr>
        <w:rFonts w:ascii="Arial" w:eastAsia="Arial" w:hAnsi="Arial" w:cs="Arial"/>
        <w:color w:val="BFBFBF"/>
        <w:sz w:val="20"/>
        <w:szCs w:val="20"/>
      </w:rPr>
      <w:t>Framework Ref: RM</w:t>
    </w:r>
    <w:r w:rsidR="00FA3BA7">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382685">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9EAFE" w14:textId="77777777" w:rsidR="00A47D61" w:rsidRDefault="00FA3BA7">
      <w:pPr>
        <w:spacing w:after="0" w:line="240" w:lineRule="auto"/>
      </w:pPr>
      <w:r>
        <w:separator/>
      </w:r>
    </w:p>
  </w:footnote>
  <w:footnote w:type="continuationSeparator" w:id="0">
    <w:p w14:paraId="4EDEAF9E" w14:textId="77777777" w:rsidR="00A47D61" w:rsidRDefault="00FA3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99DF" w14:textId="48BF4B0E" w:rsidR="00386A55" w:rsidRDefault="00C71526">
    <w:pPr>
      <w:pStyle w:val="Header"/>
    </w:pPr>
    <w:r>
      <w:rPr>
        <w:noProof/>
      </w:rPr>
      <mc:AlternateContent>
        <mc:Choice Requires="wps">
          <w:drawing>
            <wp:anchor distT="0" distB="0" distL="0" distR="0" simplePos="0" relativeHeight="251659264" behindDoc="0" locked="0" layoutInCell="1" allowOverlap="1" wp14:anchorId="6DAF226A" wp14:editId="018AD5AE">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3F6333" w14:textId="27CD9092" w:rsidR="00C71526" w:rsidRPr="00C71526" w:rsidRDefault="00C71526" w:rsidP="00C71526">
                          <w:pPr>
                            <w:spacing w:after="0"/>
                            <w:rPr>
                              <w:noProof/>
                              <w:color w:val="000000"/>
                              <w:sz w:val="20"/>
                              <w:szCs w:val="20"/>
                            </w:rPr>
                          </w:pPr>
                          <w:r w:rsidRPr="00C71526">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AF226A"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713F6333" w14:textId="27CD9092" w:rsidR="00C71526" w:rsidRPr="00C71526" w:rsidRDefault="00C71526" w:rsidP="00C71526">
                    <w:pPr>
                      <w:spacing w:after="0"/>
                      <w:rPr>
                        <w:noProof/>
                        <w:color w:val="000000"/>
                        <w:sz w:val="20"/>
                        <w:szCs w:val="20"/>
                      </w:rPr>
                    </w:pPr>
                    <w:r w:rsidRPr="00C71526">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473AEE31" w:rsidR="00BB5AFE" w:rsidRPr="001945C1" w:rsidRDefault="00C71526"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4319E958" wp14:editId="6B7C2FBD">
              <wp:simplePos x="914400" y="450574"/>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24901F" w14:textId="63B9B6D2" w:rsidR="00C71526" w:rsidRPr="00C71526" w:rsidRDefault="00C71526" w:rsidP="00C71526">
                          <w:pPr>
                            <w:spacing w:after="0"/>
                            <w:rPr>
                              <w:noProof/>
                              <w:color w:val="000000"/>
                              <w:sz w:val="20"/>
                              <w:szCs w:val="20"/>
                            </w:rPr>
                          </w:pPr>
                          <w:r w:rsidRPr="00C71526">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19E958"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624901F" w14:textId="63B9B6D2" w:rsidR="00C71526" w:rsidRPr="00C71526" w:rsidRDefault="00C71526" w:rsidP="00C71526">
                    <w:pPr>
                      <w:spacing w:after="0"/>
                      <w:rPr>
                        <w:noProof/>
                        <w:color w:val="000000"/>
                        <w:sz w:val="20"/>
                        <w:szCs w:val="20"/>
                      </w:rPr>
                    </w:pPr>
                    <w:r w:rsidRPr="00C71526">
                      <w:rPr>
                        <w:noProof/>
                        <w:color w:val="000000"/>
                        <w:sz w:val="20"/>
                        <w:szCs w:val="20"/>
                      </w:rPr>
                      <w:t>UK OFFICIAL</w:t>
                    </w:r>
                  </w:p>
                </w:txbxContent>
              </v:textbox>
              <w10:wrap anchorx="page" anchory="page"/>
            </v:shape>
          </w:pict>
        </mc:Fallback>
      </mc:AlternateContent>
    </w:r>
    <w:r w:rsidR="00FA3BA7"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00FA3BA7"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 xml:space="preserve">, </w:t>
    </w:r>
    <w:r w:rsidR="00382685">
      <w:rPr>
        <w:rFonts w:ascii="Arial" w:eastAsia="Arial" w:hAnsi="Arial" w:cs="Arial"/>
        <w:bCs/>
        <w:color w:val="000000"/>
        <w:sz w:val="20"/>
        <w:szCs w:val="20"/>
      </w:rPr>
      <w:t>PS24138</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5FA5FC53" w:rsidR="00C9157A" w:rsidRDefault="00C71526">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7DCDEFC3" wp14:editId="56B98FB9">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4C5F0E" w14:textId="79E76FC7" w:rsidR="00C71526" w:rsidRPr="00C71526" w:rsidRDefault="00C71526" w:rsidP="00C71526">
                          <w:pPr>
                            <w:spacing w:after="0"/>
                            <w:rPr>
                              <w:noProof/>
                              <w:color w:val="000000"/>
                              <w:sz w:val="20"/>
                              <w:szCs w:val="20"/>
                            </w:rPr>
                          </w:pPr>
                          <w:r w:rsidRPr="00C71526">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CDEFC3"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14C5F0E" w14:textId="79E76FC7" w:rsidR="00C71526" w:rsidRPr="00C71526" w:rsidRDefault="00C71526" w:rsidP="00C71526">
                    <w:pPr>
                      <w:spacing w:after="0"/>
                      <w:rPr>
                        <w:noProof/>
                        <w:color w:val="000000"/>
                        <w:sz w:val="20"/>
                        <w:szCs w:val="20"/>
                      </w:rPr>
                    </w:pPr>
                    <w:r w:rsidRPr="00C71526">
                      <w:rPr>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645361691">
    <w:abstractNumId w:val="27"/>
  </w:num>
  <w:num w:numId="2" w16cid:durableId="1819180261">
    <w:abstractNumId w:val="17"/>
  </w:num>
  <w:num w:numId="3" w16cid:durableId="1487210111">
    <w:abstractNumId w:val="44"/>
  </w:num>
  <w:num w:numId="4" w16cid:durableId="1439063549">
    <w:abstractNumId w:val="20"/>
  </w:num>
  <w:num w:numId="5" w16cid:durableId="1933396196">
    <w:abstractNumId w:val="34"/>
  </w:num>
  <w:num w:numId="6" w16cid:durableId="1930191319">
    <w:abstractNumId w:val="18"/>
  </w:num>
  <w:num w:numId="7" w16cid:durableId="1571963435">
    <w:abstractNumId w:val="30"/>
  </w:num>
  <w:num w:numId="8" w16cid:durableId="175505762">
    <w:abstractNumId w:val="35"/>
  </w:num>
  <w:num w:numId="9" w16cid:durableId="1761411467">
    <w:abstractNumId w:val="41"/>
  </w:num>
  <w:num w:numId="10" w16cid:durableId="471219238">
    <w:abstractNumId w:val="1"/>
  </w:num>
  <w:num w:numId="11" w16cid:durableId="1490756906">
    <w:abstractNumId w:val="47"/>
  </w:num>
  <w:num w:numId="12" w16cid:durableId="1133983553">
    <w:abstractNumId w:val="22"/>
  </w:num>
  <w:num w:numId="13" w16cid:durableId="141889113">
    <w:abstractNumId w:val="10"/>
  </w:num>
  <w:num w:numId="14" w16cid:durableId="263533598">
    <w:abstractNumId w:val="21"/>
  </w:num>
  <w:num w:numId="15" w16cid:durableId="1083835049">
    <w:abstractNumId w:val="2"/>
  </w:num>
  <w:num w:numId="16" w16cid:durableId="361059025">
    <w:abstractNumId w:val="0"/>
  </w:num>
  <w:num w:numId="17" w16cid:durableId="960384354">
    <w:abstractNumId w:val="16"/>
  </w:num>
  <w:num w:numId="18" w16cid:durableId="1534461441">
    <w:abstractNumId w:val="26"/>
  </w:num>
  <w:num w:numId="19" w16cid:durableId="1410152643">
    <w:abstractNumId w:val="8"/>
  </w:num>
  <w:num w:numId="20" w16cid:durableId="231932482">
    <w:abstractNumId w:val="3"/>
  </w:num>
  <w:num w:numId="21" w16cid:durableId="325715558">
    <w:abstractNumId w:val="33"/>
  </w:num>
  <w:num w:numId="22" w16cid:durableId="1618219596">
    <w:abstractNumId w:val="13"/>
  </w:num>
  <w:num w:numId="23" w16cid:durableId="465048032">
    <w:abstractNumId w:val="25"/>
  </w:num>
  <w:num w:numId="24" w16cid:durableId="2119640598">
    <w:abstractNumId w:val="19"/>
  </w:num>
  <w:num w:numId="25" w16cid:durableId="2141145479">
    <w:abstractNumId w:val="32"/>
  </w:num>
  <w:num w:numId="26" w16cid:durableId="1956793730">
    <w:abstractNumId w:val="36"/>
  </w:num>
  <w:num w:numId="27" w16cid:durableId="106320964">
    <w:abstractNumId w:val="11"/>
  </w:num>
  <w:num w:numId="28" w16cid:durableId="771556047">
    <w:abstractNumId w:val="12"/>
  </w:num>
  <w:num w:numId="29" w16cid:durableId="564879706">
    <w:abstractNumId w:val="45"/>
  </w:num>
  <w:num w:numId="30" w16cid:durableId="1936935519">
    <w:abstractNumId w:val="15"/>
  </w:num>
  <w:num w:numId="31" w16cid:durableId="295720793">
    <w:abstractNumId w:val="7"/>
  </w:num>
  <w:num w:numId="32" w16cid:durableId="1566254570">
    <w:abstractNumId w:val="14"/>
  </w:num>
  <w:num w:numId="33" w16cid:durableId="1886209725">
    <w:abstractNumId w:val="38"/>
  </w:num>
  <w:num w:numId="34" w16cid:durableId="13530741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305228">
    <w:abstractNumId w:val="46"/>
  </w:num>
  <w:num w:numId="36" w16cid:durableId="1070034402">
    <w:abstractNumId w:val="31"/>
  </w:num>
  <w:num w:numId="37" w16cid:durableId="1126310742">
    <w:abstractNumId w:val="4"/>
  </w:num>
  <w:num w:numId="38" w16cid:durableId="279532285">
    <w:abstractNumId w:val="48"/>
  </w:num>
  <w:num w:numId="39" w16cid:durableId="518350636">
    <w:abstractNumId w:val="40"/>
  </w:num>
  <w:num w:numId="40" w16cid:durableId="1913664204">
    <w:abstractNumId w:val="37"/>
  </w:num>
  <w:num w:numId="41" w16cid:durableId="2027049676">
    <w:abstractNumId w:val="6"/>
  </w:num>
  <w:num w:numId="42" w16cid:durableId="527068927">
    <w:abstractNumId w:val="23"/>
  </w:num>
  <w:num w:numId="43" w16cid:durableId="1140029151">
    <w:abstractNumId w:val="42"/>
  </w:num>
  <w:num w:numId="44" w16cid:durableId="478111300">
    <w:abstractNumId w:val="24"/>
  </w:num>
  <w:num w:numId="45" w16cid:durableId="1960454780">
    <w:abstractNumId w:val="9"/>
  </w:num>
  <w:num w:numId="46" w16cid:durableId="1030034881">
    <w:abstractNumId w:val="39"/>
  </w:num>
  <w:num w:numId="47" w16cid:durableId="1545556239">
    <w:abstractNumId w:val="43"/>
  </w:num>
  <w:num w:numId="48" w16cid:durableId="1876238331">
    <w:abstractNumId w:val="5"/>
  </w:num>
  <w:num w:numId="49" w16cid:durableId="632175090">
    <w:abstractNumId w:val="29"/>
  </w:num>
  <w:num w:numId="50" w16cid:durableId="76561403">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C4FB0"/>
    <w:rsid w:val="000F7B87"/>
    <w:rsid w:val="00132950"/>
    <w:rsid w:val="001945C1"/>
    <w:rsid w:val="001E0DEF"/>
    <w:rsid w:val="00205D1C"/>
    <w:rsid w:val="002547C5"/>
    <w:rsid w:val="00283C69"/>
    <w:rsid w:val="002C4779"/>
    <w:rsid w:val="00374B8C"/>
    <w:rsid w:val="00382685"/>
    <w:rsid w:val="00386A55"/>
    <w:rsid w:val="003C5AE1"/>
    <w:rsid w:val="004525FA"/>
    <w:rsid w:val="0047635C"/>
    <w:rsid w:val="004D417A"/>
    <w:rsid w:val="00532C8B"/>
    <w:rsid w:val="00575076"/>
    <w:rsid w:val="0057554F"/>
    <w:rsid w:val="0067323E"/>
    <w:rsid w:val="00723B30"/>
    <w:rsid w:val="0087019C"/>
    <w:rsid w:val="00873149"/>
    <w:rsid w:val="00A47D61"/>
    <w:rsid w:val="00B00CB1"/>
    <w:rsid w:val="00B04CBB"/>
    <w:rsid w:val="00B300CE"/>
    <w:rsid w:val="00BB5AFE"/>
    <w:rsid w:val="00C329FE"/>
    <w:rsid w:val="00C64EFE"/>
    <w:rsid w:val="00C71526"/>
    <w:rsid w:val="00C9157A"/>
    <w:rsid w:val="00CA327E"/>
    <w:rsid w:val="00FA3B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2</TotalTime>
  <Pages>40</Pages>
  <Words>10444</Words>
  <Characters>59536</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Liz Vincent - UKSBS</cp:lastModifiedBy>
  <cp:revision>3</cp:revision>
  <dcterms:created xsi:type="dcterms:W3CDTF">2024-06-28T09:56:00Z</dcterms:created>
  <dcterms:modified xsi:type="dcterms:W3CDTF">2024-06-28T13:54:00Z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